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A6CE" w14:textId="77777777" w:rsidR="00995AA1" w:rsidRPr="00995AA1" w:rsidRDefault="00995AA1" w:rsidP="00995AA1">
      <w:pPr>
        <w:spacing w:line="240" w:lineRule="auto"/>
        <w:jc w:val="center"/>
        <w:rPr>
          <w:sz w:val="32"/>
          <w:szCs w:val="32"/>
        </w:rPr>
      </w:pPr>
      <w:bookmarkStart w:id="0" w:name="_GoBack"/>
      <w:r w:rsidRPr="00995AA1">
        <w:rPr>
          <w:sz w:val="32"/>
          <w:szCs w:val="32"/>
        </w:rPr>
        <w:t>Supreme Court Trial Brief</w:t>
      </w:r>
    </w:p>
    <w:bookmarkEnd w:id="0"/>
    <w:p w14:paraId="20A935E2" w14:textId="77777777" w:rsidR="005865AE" w:rsidRPr="00995AA1" w:rsidRDefault="00995AA1" w:rsidP="00995AA1">
      <w:pPr>
        <w:spacing w:line="240" w:lineRule="auto"/>
        <w:jc w:val="center"/>
        <w:rPr>
          <w:sz w:val="28"/>
          <w:szCs w:val="28"/>
        </w:rPr>
      </w:pPr>
      <w:r w:rsidRPr="00995AA1">
        <w:rPr>
          <w:i/>
          <w:sz w:val="28"/>
          <w:szCs w:val="28"/>
        </w:rPr>
        <w:t xml:space="preserve">School District of Abington Township v. </w:t>
      </w:r>
      <w:proofErr w:type="spellStart"/>
      <w:r w:rsidRPr="00995AA1">
        <w:rPr>
          <w:i/>
          <w:sz w:val="28"/>
          <w:szCs w:val="28"/>
        </w:rPr>
        <w:t>Schempp</w:t>
      </w:r>
      <w:proofErr w:type="spellEnd"/>
      <w:r w:rsidRPr="00995AA1">
        <w:rPr>
          <w:i/>
          <w:sz w:val="28"/>
          <w:szCs w:val="28"/>
        </w:rPr>
        <w:t xml:space="preserve"> </w:t>
      </w:r>
      <w:r w:rsidRPr="00995AA1">
        <w:rPr>
          <w:sz w:val="28"/>
          <w:szCs w:val="28"/>
        </w:rPr>
        <w:t>(1963)</w:t>
      </w:r>
    </w:p>
    <w:p w14:paraId="1684DB1F" w14:textId="77777777" w:rsidR="00995AA1" w:rsidRDefault="00995AA1" w:rsidP="00995AA1">
      <w:pPr>
        <w:pStyle w:val="NormalWeb"/>
        <w:shd w:val="clear" w:color="auto" w:fill="FFFFFF"/>
        <w:spacing w:before="96" w:beforeAutospacing="0" w:after="120" w:afterAutospacing="0" w:line="360" w:lineRule="auto"/>
        <w:rPr>
          <w:rFonts w:asciiTheme="minorHAnsi" w:hAnsiTheme="minorHAnsi"/>
          <w:b/>
        </w:rPr>
      </w:pPr>
      <w:r w:rsidRPr="00995AA1">
        <w:rPr>
          <w:rFonts w:asciiTheme="minorHAnsi" w:hAnsiTheme="minorHAnsi"/>
          <w:b/>
        </w:rPr>
        <w:t xml:space="preserve">Origin of the Case: </w:t>
      </w:r>
    </w:p>
    <w:p w14:paraId="01D6FAB3" w14:textId="77777777" w:rsidR="00995AA1" w:rsidRPr="00995AA1" w:rsidRDefault="00995AA1" w:rsidP="00995AA1">
      <w:pPr>
        <w:pStyle w:val="NormalWeb"/>
        <w:shd w:val="clear" w:color="auto" w:fill="FFFFFF"/>
        <w:spacing w:before="96" w:beforeAutospacing="0" w:after="120" w:afterAutospacing="0" w:line="360" w:lineRule="auto"/>
        <w:ind w:firstLine="720"/>
        <w:rPr>
          <w:rFonts w:asciiTheme="minorHAnsi" w:eastAsiaTheme="minorHAnsi" w:hAnsiTheme="minorHAnsi"/>
        </w:rPr>
      </w:pPr>
      <w:r w:rsidRPr="00995AA1">
        <w:rPr>
          <w:rFonts w:asciiTheme="minorHAnsi" w:eastAsiaTheme="minorHAnsi" w:hAnsiTheme="minorHAnsi"/>
        </w:rPr>
        <w:t>The </w:t>
      </w:r>
      <w:r w:rsidRPr="00995AA1">
        <w:rPr>
          <w:rFonts w:asciiTheme="minorHAnsi" w:eastAsiaTheme="minorHAnsi" w:hAnsiTheme="minorHAnsi"/>
          <w:i/>
          <w:iCs/>
        </w:rPr>
        <w:t>Abington</w:t>
      </w:r>
      <w:r w:rsidRPr="00995AA1">
        <w:rPr>
          <w:rFonts w:asciiTheme="minorHAnsi" w:eastAsiaTheme="minorHAnsi" w:hAnsiTheme="minorHAnsi"/>
        </w:rPr>
        <w:t xml:space="preserve"> case began when Edward </w:t>
      </w:r>
      <w:proofErr w:type="spellStart"/>
      <w:r w:rsidRPr="00995AA1">
        <w:rPr>
          <w:rFonts w:asciiTheme="minorHAnsi" w:eastAsiaTheme="minorHAnsi" w:hAnsiTheme="minorHAnsi"/>
        </w:rPr>
        <w:t>Schempp</w:t>
      </w:r>
      <w:proofErr w:type="spellEnd"/>
      <w:r w:rsidRPr="00995AA1">
        <w:rPr>
          <w:rFonts w:asciiTheme="minorHAnsi" w:eastAsiaTheme="minorHAnsi" w:hAnsiTheme="minorHAnsi"/>
        </w:rPr>
        <w:t>, a </w:t>
      </w:r>
      <w:hyperlink r:id="rId7" w:tooltip="Unitarian Universalist" w:history="1">
        <w:r w:rsidRPr="00995AA1">
          <w:rPr>
            <w:rFonts w:asciiTheme="minorHAnsi" w:eastAsiaTheme="minorHAnsi" w:hAnsiTheme="minorHAnsi"/>
          </w:rPr>
          <w:t>Unitarian Universalist</w:t>
        </w:r>
      </w:hyperlink>
      <w:r w:rsidRPr="00995AA1">
        <w:rPr>
          <w:rFonts w:asciiTheme="minorHAnsi" w:eastAsiaTheme="minorHAnsi" w:hAnsiTheme="minorHAnsi"/>
        </w:rPr>
        <w:t> and a resident of </w:t>
      </w:r>
      <w:hyperlink r:id="rId8" w:tooltip="Abington Township, Montgomery County, Pennsylvania" w:history="1">
        <w:r w:rsidRPr="00995AA1">
          <w:rPr>
            <w:rFonts w:asciiTheme="minorHAnsi" w:eastAsiaTheme="minorHAnsi" w:hAnsiTheme="minorHAnsi"/>
          </w:rPr>
          <w:t>Abington Township, Pennsylvania</w:t>
        </w:r>
      </w:hyperlink>
      <w:r w:rsidRPr="00995AA1">
        <w:rPr>
          <w:rFonts w:asciiTheme="minorHAnsi" w:eastAsiaTheme="minorHAnsi" w:hAnsiTheme="minorHAnsi"/>
        </w:rPr>
        <w:t>, filed suit against the </w:t>
      </w:r>
      <w:hyperlink r:id="rId9" w:tooltip="Abington School District" w:history="1">
        <w:r w:rsidRPr="00995AA1">
          <w:rPr>
            <w:rFonts w:asciiTheme="minorHAnsi" w:eastAsiaTheme="minorHAnsi" w:hAnsiTheme="minorHAnsi"/>
          </w:rPr>
          <w:t>Abington School District</w:t>
        </w:r>
      </w:hyperlink>
      <w:r w:rsidRPr="00995AA1">
        <w:rPr>
          <w:rFonts w:asciiTheme="minorHAnsi" w:eastAsiaTheme="minorHAnsi" w:hAnsiTheme="minorHAnsi"/>
        </w:rPr>
        <w:t> in the United States District Court for the Eastern District of Pennsylvania to prohibit the enforcement of a </w:t>
      </w:r>
      <w:hyperlink r:id="rId10" w:tooltip="Pennsylvania" w:history="1">
        <w:r w:rsidRPr="00995AA1">
          <w:rPr>
            <w:rFonts w:asciiTheme="minorHAnsi" w:eastAsiaTheme="minorHAnsi" w:hAnsiTheme="minorHAnsi"/>
          </w:rPr>
          <w:t>Pennsylvania</w:t>
        </w:r>
      </w:hyperlink>
      <w:r w:rsidRPr="00995AA1">
        <w:rPr>
          <w:rFonts w:asciiTheme="minorHAnsi" w:eastAsiaTheme="minorHAnsi" w:hAnsiTheme="minorHAnsi"/>
        </w:rPr>
        <w:t> state law that required his children, specifically </w:t>
      </w:r>
      <w:proofErr w:type="spellStart"/>
      <w:r w:rsidR="00946846">
        <w:fldChar w:fldCharType="begin"/>
      </w:r>
      <w:r w:rsidR="00946846">
        <w:instrText xml:space="preserve"> HYPERLINK "http://en.wikipedia.org/wiki/Ellery_Schempp" \o "Ellery Schempp" </w:instrText>
      </w:r>
      <w:r w:rsidR="00946846">
        <w:fldChar w:fldCharType="separate"/>
      </w:r>
      <w:r w:rsidRPr="00995AA1">
        <w:rPr>
          <w:rFonts w:asciiTheme="minorHAnsi" w:eastAsiaTheme="minorHAnsi" w:hAnsiTheme="minorHAnsi"/>
        </w:rPr>
        <w:t>Ellory</w:t>
      </w:r>
      <w:proofErr w:type="spellEnd"/>
      <w:r w:rsidRPr="00995AA1">
        <w:rPr>
          <w:rFonts w:asciiTheme="minorHAnsi" w:eastAsiaTheme="minorHAnsi" w:hAnsiTheme="minorHAnsi"/>
        </w:rPr>
        <w:t xml:space="preserve"> </w:t>
      </w:r>
      <w:proofErr w:type="spellStart"/>
      <w:r w:rsidRPr="00995AA1">
        <w:rPr>
          <w:rFonts w:asciiTheme="minorHAnsi" w:eastAsiaTheme="minorHAnsi" w:hAnsiTheme="minorHAnsi"/>
        </w:rPr>
        <w:t>Schempp</w:t>
      </w:r>
      <w:proofErr w:type="spellEnd"/>
      <w:r w:rsidR="00946846">
        <w:rPr>
          <w:rFonts w:asciiTheme="minorHAnsi" w:eastAsiaTheme="minorHAnsi" w:hAnsiTheme="minorHAnsi"/>
        </w:rPr>
        <w:fldChar w:fldCharType="end"/>
      </w:r>
      <w:r w:rsidRPr="00995AA1">
        <w:rPr>
          <w:rFonts w:asciiTheme="minorHAnsi" w:eastAsiaTheme="minorHAnsi" w:hAnsiTheme="minorHAnsi"/>
        </w:rPr>
        <w:t>, to hear and sometimes read portions of the Bible as part of their </w:t>
      </w:r>
      <w:hyperlink r:id="rId11" w:tooltip="Public school (government funded)" w:history="1">
        <w:r w:rsidRPr="00995AA1">
          <w:rPr>
            <w:rFonts w:asciiTheme="minorHAnsi" w:eastAsiaTheme="minorHAnsi" w:hAnsiTheme="minorHAnsi"/>
          </w:rPr>
          <w:t>public school</w:t>
        </w:r>
      </w:hyperlink>
      <w:r w:rsidRPr="00995AA1">
        <w:rPr>
          <w:rFonts w:asciiTheme="minorHAnsi" w:eastAsiaTheme="minorHAnsi" w:hAnsiTheme="minorHAnsi"/>
        </w:rPr>
        <w:t xml:space="preserve"> education. That law (24 Pa. Stat. 15-1516, as amended, Pub. Law 1928) required that "[a]t least ten verses from the Holy Bible [be] read, without comment, at the opening of each public school on each school day." </w:t>
      </w:r>
      <w:proofErr w:type="spellStart"/>
      <w:r w:rsidRPr="00995AA1">
        <w:rPr>
          <w:rFonts w:asciiTheme="minorHAnsi" w:eastAsiaTheme="minorHAnsi" w:hAnsiTheme="minorHAnsi"/>
        </w:rPr>
        <w:t>Schempp</w:t>
      </w:r>
      <w:proofErr w:type="spellEnd"/>
      <w:r w:rsidRPr="00995AA1">
        <w:rPr>
          <w:rFonts w:asciiTheme="minorHAnsi" w:eastAsiaTheme="minorHAnsi" w:hAnsiTheme="minorHAnsi"/>
        </w:rPr>
        <w:t xml:space="preserve"> specifically contended that the statute violated his and his family's rights under the First and Fourteenth Amendments. </w:t>
      </w:r>
    </w:p>
    <w:p w14:paraId="2F5C4E9D" w14:textId="3A7C4F14" w:rsidR="00995AA1" w:rsidRPr="00995AA1" w:rsidRDefault="00995AA1" w:rsidP="00995AA1">
      <w:pPr>
        <w:shd w:val="clear" w:color="auto" w:fill="FFFFFF"/>
        <w:spacing w:before="96" w:after="120" w:line="360" w:lineRule="auto"/>
        <w:ind w:firstLine="720"/>
        <w:rPr>
          <w:rFonts w:cs="Times New Roman"/>
          <w:color w:val="000000"/>
          <w:sz w:val="24"/>
          <w:szCs w:val="24"/>
        </w:rPr>
      </w:pPr>
      <w:r w:rsidRPr="00995AA1">
        <w:rPr>
          <w:rFonts w:cs="Times New Roman"/>
          <w:color w:val="000000"/>
          <w:sz w:val="24"/>
          <w:szCs w:val="24"/>
        </w:rPr>
        <w:t>Pennsylvania law, like that of four other states, included a statute compelling school districts to perform Bible readings in the mornings before class. Twenty-five states had laws allowing "optional" Bible reading, with the remainder having no laws supporting or rejecting Bible reading. In eleven of those states with laws supportive of Bible reading or state-sponsored prayer, the state courts had declared them unconstitutional.</w:t>
      </w:r>
      <w:r w:rsidR="009E6073" w:rsidRPr="00995AA1">
        <w:rPr>
          <w:rFonts w:cs="Times New Roman"/>
          <w:color w:val="000000"/>
          <w:sz w:val="24"/>
          <w:szCs w:val="24"/>
        </w:rPr>
        <w:t xml:space="preserve"> </w:t>
      </w:r>
    </w:p>
    <w:p w14:paraId="0340AF9D" w14:textId="77777777" w:rsidR="00995AA1" w:rsidRPr="00995AA1" w:rsidRDefault="00995AA1" w:rsidP="00995AA1">
      <w:pPr>
        <w:spacing w:line="360" w:lineRule="auto"/>
        <w:ind w:firstLine="720"/>
        <w:rPr>
          <w:sz w:val="24"/>
          <w:szCs w:val="24"/>
        </w:rPr>
      </w:pPr>
      <w:r w:rsidRPr="00995AA1">
        <w:rPr>
          <w:sz w:val="24"/>
          <w:szCs w:val="24"/>
        </w:rPr>
        <w:t xml:space="preserve">In the </w:t>
      </w:r>
      <w:r w:rsidRPr="00995AA1">
        <w:rPr>
          <w:i/>
          <w:sz w:val="24"/>
          <w:szCs w:val="24"/>
        </w:rPr>
        <w:t xml:space="preserve">School District of Abington Township v. </w:t>
      </w:r>
      <w:proofErr w:type="spellStart"/>
      <w:r w:rsidRPr="00995AA1">
        <w:rPr>
          <w:i/>
          <w:sz w:val="24"/>
          <w:szCs w:val="24"/>
        </w:rPr>
        <w:t>Schempp</w:t>
      </w:r>
      <w:proofErr w:type="spellEnd"/>
      <w:r w:rsidRPr="00995AA1">
        <w:rPr>
          <w:i/>
          <w:sz w:val="24"/>
          <w:szCs w:val="24"/>
        </w:rPr>
        <w:t xml:space="preserve"> </w:t>
      </w:r>
      <w:r w:rsidRPr="00995AA1">
        <w:rPr>
          <w:sz w:val="24"/>
          <w:szCs w:val="24"/>
        </w:rPr>
        <w:t xml:space="preserve">(1963), Pennsylvanian High School students were required to sit through the recital of ten Bible verses every morning. The </w:t>
      </w:r>
      <w:proofErr w:type="spellStart"/>
      <w:r w:rsidRPr="00995AA1">
        <w:rPr>
          <w:sz w:val="24"/>
          <w:szCs w:val="24"/>
        </w:rPr>
        <w:t>Schempp</w:t>
      </w:r>
      <w:proofErr w:type="spellEnd"/>
      <w:r w:rsidRPr="00995AA1">
        <w:rPr>
          <w:sz w:val="24"/>
          <w:szCs w:val="24"/>
        </w:rPr>
        <w:t xml:space="preserve"> family believed this was a violation of their Fourteenth Amendment right because the school provided only copies of the King James Bible and not any other holy books. The </w:t>
      </w:r>
      <w:proofErr w:type="spellStart"/>
      <w:r w:rsidRPr="00995AA1">
        <w:rPr>
          <w:sz w:val="24"/>
          <w:szCs w:val="24"/>
        </w:rPr>
        <w:t>Schempp</w:t>
      </w:r>
      <w:proofErr w:type="spellEnd"/>
      <w:r w:rsidRPr="00995AA1">
        <w:rPr>
          <w:sz w:val="24"/>
          <w:szCs w:val="24"/>
        </w:rPr>
        <w:t xml:space="preserve"> family decided to file a lawsuit against the school district. </w:t>
      </w:r>
    </w:p>
    <w:p w14:paraId="639DC498" w14:textId="77777777" w:rsidR="00995AA1" w:rsidRDefault="00995AA1" w:rsidP="00995AA1"/>
    <w:p w14:paraId="368BDBA8" w14:textId="77777777" w:rsidR="00995AA1" w:rsidRDefault="00995AA1" w:rsidP="00995AA1"/>
    <w:p w14:paraId="2E767DBF" w14:textId="77777777" w:rsidR="00995AA1" w:rsidRDefault="00995AA1" w:rsidP="00995AA1"/>
    <w:p w14:paraId="12C2C754" w14:textId="77777777" w:rsidR="00995AA1" w:rsidRDefault="00995AA1" w:rsidP="00995AA1"/>
    <w:p w14:paraId="5565AB2B" w14:textId="77777777" w:rsidR="00995AA1" w:rsidRDefault="00995AA1" w:rsidP="00995AA1"/>
    <w:p w14:paraId="48618CDF" w14:textId="04291B4B" w:rsidR="009E44F7" w:rsidRPr="009E6073" w:rsidRDefault="009E44F7" w:rsidP="009E44F7">
      <w:pPr>
        <w:spacing w:line="240" w:lineRule="auto"/>
        <w:jc w:val="center"/>
        <w:rPr>
          <w:sz w:val="32"/>
          <w:szCs w:val="32"/>
        </w:rPr>
      </w:pPr>
      <w:r w:rsidRPr="009E6073">
        <w:rPr>
          <w:sz w:val="32"/>
          <w:szCs w:val="32"/>
        </w:rPr>
        <w:lastRenderedPageBreak/>
        <w:t>Precedent</w:t>
      </w:r>
      <w:r w:rsidR="00E73151" w:rsidRPr="009E6073">
        <w:rPr>
          <w:sz w:val="32"/>
          <w:szCs w:val="32"/>
        </w:rPr>
        <w:t>s</w:t>
      </w:r>
      <w:r w:rsidRPr="009E6073">
        <w:rPr>
          <w:sz w:val="32"/>
          <w:szCs w:val="32"/>
        </w:rPr>
        <w:t xml:space="preserve"> for</w:t>
      </w:r>
      <w:r w:rsidRPr="009E6073">
        <w:rPr>
          <w:i/>
          <w:sz w:val="32"/>
          <w:szCs w:val="32"/>
        </w:rPr>
        <w:t xml:space="preserve"> School District of Abington Township v. </w:t>
      </w:r>
      <w:proofErr w:type="spellStart"/>
      <w:r w:rsidRPr="009E6073">
        <w:rPr>
          <w:i/>
          <w:sz w:val="32"/>
          <w:szCs w:val="32"/>
        </w:rPr>
        <w:t>Schempp</w:t>
      </w:r>
      <w:proofErr w:type="spellEnd"/>
      <w:r w:rsidRPr="009E6073">
        <w:rPr>
          <w:i/>
          <w:sz w:val="32"/>
          <w:szCs w:val="32"/>
        </w:rPr>
        <w:t xml:space="preserve"> </w:t>
      </w:r>
      <w:r w:rsidRPr="009E6073">
        <w:rPr>
          <w:sz w:val="32"/>
          <w:szCs w:val="32"/>
        </w:rPr>
        <w:t>(1963)</w:t>
      </w:r>
    </w:p>
    <w:p w14:paraId="58C8A802" w14:textId="77777777" w:rsidR="00A6415E" w:rsidRDefault="00A6415E" w:rsidP="00995AA1"/>
    <w:p w14:paraId="7DC837D8" w14:textId="77777777" w:rsidR="00E73151" w:rsidRPr="00E73151" w:rsidRDefault="00E73151" w:rsidP="00E73151">
      <w:pPr>
        <w:shd w:val="clear" w:color="auto" w:fill="FFFFFF"/>
        <w:spacing w:before="96" w:after="120" w:line="288" w:lineRule="atLeast"/>
        <w:rPr>
          <w:rFonts w:cs="Arial"/>
          <w:sz w:val="24"/>
          <w:szCs w:val="24"/>
          <w:shd w:val="clear" w:color="auto" w:fill="FFFFFF"/>
        </w:rPr>
      </w:pPr>
      <w:r w:rsidRPr="00E73151">
        <w:rPr>
          <w:rFonts w:cs="Arial"/>
          <w:b/>
          <w:bCs/>
          <w:i/>
          <w:iCs/>
          <w:sz w:val="24"/>
          <w:szCs w:val="24"/>
          <w:shd w:val="clear" w:color="auto" w:fill="FFFFFF"/>
        </w:rPr>
        <w:t>Engel v. Vitale</w:t>
      </w:r>
      <w:r w:rsidRPr="00E73151">
        <w:rPr>
          <w:rFonts w:cs="Arial"/>
          <w:sz w:val="24"/>
          <w:szCs w:val="24"/>
          <w:shd w:val="clear" w:color="auto" w:fill="FFFFFF"/>
        </w:rPr>
        <w:t>, 370 U.S. 421 (1962), was a</w:t>
      </w:r>
      <w:r w:rsidRPr="00E73151">
        <w:rPr>
          <w:rStyle w:val="apple-converted-space"/>
          <w:rFonts w:cs="Arial"/>
          <w:sz w:val="24"/>
          <w:szCs w:val="24"/>
          <w:shd w:val="clear" w:color="auto" w:fill="FFFFFF"/>
        </w:rPr>
        <w:t> </w:t>
      </w:r>
      <w:hyperlink r:id="rId12" w:tooltip="Landmark decision" w:history="1">
        <w:r w:rsidRPr="00E73151">
          <w:rPr>
            <w:rStyle w:val="Hyperlink"/>
            <w:rFonts w:cs="Arial"/>
            <w:color w:val="auto"/>
            <w:sz w:val="24"/>
            <w:szCs w:val="24"/>
            <w:u w:val="none"/>
            <w:shd w:val="clear" w:color="auto" w:fill="FFFFFF"/>
          </w:rPr>
          <w:t>landmark</w:t>
        </w:r>
      </w:hyperlink>
      <w:r w:rsidRPr="00E73151">
        <w:rPr>
          <w:rStyle w:val="apple-converted-space"/>
          <w:rFonts w:cs="Arial"/>
          <w:sz w:val="24"/>
          <w:szCs w:val="24"/>
          <w:shd w:val="clear" w:color="auto" w:fill="FFFFFF"/>
        </w:rPr>
        <w:t> </w:t>
      </w:r>
      <w:hyperlink r:id="rId13" w:tooltip="Supreme Court of the United States" w:history="1">
        <w:r w:rsidRPr="00E73151">
          <w:rPr>
            <w:rStyle w:val="Hyperlink"/>
            <w:rFonts w:cs="Arial"/>
            <w:color w:val="auto"/>
            <w:sz w:val="24"/>
            <w:szCs w:val="24"/>
            <w:u w:val="none"/>
            <w:shd w:val="clear" w:color="auto" w:fill="FFFFFF"/>
          </w:rPr>
          <w:t>United States Supreme Court</w:t>
        </w:r>
      </w:hyperlink>
      <w:r w:rsidRPr="00E73151">
        <w:rPr>
          <w:rStyle w:val="apple-converted-space"/>
          <w:rFonts w:cs="Arial"/>
          <w:sz w:val="24"/>
          <w:szCs w:val="24"/>
          <w:shd w:val="clear" w:color="auto" w:fill="FFFFFF"/>
        </w:rPr>
        <w:t> </w:t>
      </w:r>
      <w:r w:rsidRPr="00E73151">
        <w:rPr>
          <w:rFonts w:cs="Arial"/>
          <w:sz w:val="24"/>
          <w:szCs w:val="24"/>
          <w:shd w:val="clear" w:color="auto" w:fill="FFFFFF"/>
        </w:rPr>
        <w:t>case that ruled it is unconstitutional for state officials to compose an official</w:t>
      </w:r>
      <w:r w:rsidRPr="00E73151">
        <w:rPr>
          <w:rStyle w:val="apple-converted-space"/>
          <w:rFonts w:cs="Arial"/>
          <w:sz w:val="24"/>
          <w:szCs w:val="24"/>
          <w:shd w:val="clear" w:color="auto" w:fill="FFFFFF"/>
        </w:rPr>
        <w:t> </w:t>
      </w:r>
      <w:hyperlink r:id="rId14" w:tooltip="School prayer" w:history="1">
        <w:r w:rsidRPr="00E73151">
          <w:rPr>
            <w:rStyle w:val="Hyperlink"/>
            <w:rFonts w:cs="Arial"/>
            <w:color w:val="auto"/>
            <w:sz w:val="24"/>
            <w:szCs w:val="24"/>
            <w:u w:val="none"/>
            <w:shd w:val="clear" w:color="auto" w:fill="FFFFFF"/>
          </w:rPr>
          <w:t>school prayer</w:t>
        </w:r>
      </w:hyperlink>
      <w:r w:rsidRPr="00E73151">
        <w:rPr>
          <w:rStyle w:val="apple-converted-space"/>
          <w:rFonts w:cs="Arial"/>
          <w:sz w:val="24"/>
          <w:szCs w:val="24"/>
          <w:shd w:val="clear" w:color="auto" w:fill="FFFFFF"/>
        </w:rPr>
        <w:t> </w:t>
      </w:r>
      <w:r w:rsidRPr="00E73151">
        <w:rPr>
          <w:rFonts w:cs="Arial"/>
          <w:sz w:val="24"/>
          <w:szCs w:val="24"/>
          <w:shd w:val="clear" w:color="auto" w:fill="FFFFFF"/>
        </w:rPr>
        <w:t>and encourage its recitation in</w:t>
      </w:r>
      <w:r w:rsidRPr="00E73151">
        <w:rPr>
          <w:rStyle w:val="apple-converted-space"/>
          <w:rFonts w:cs="Arial"/>
          <w:sz w:val="24"/>
          <w:szCs w:val="24"/>
          <w:shd w:val="clear" w:color="auto" w:fill="FFFFFF"/>
        </w:rPr>
        <w:t> </w:t>
      </w:r>
      <w:hyperlink r:id="rId15" w:tooltip="Public school (government funded)" w:history="1">
        <w:r w:rsidRPr="00E73151">
          <w:rPr>
            <w:rStyle w:val="Hyperlink"/>
            <w:rFonts w:cs="Arial"/>
            <w:color w:val="auto"/>
            <w:sz w:val="24"/>
            <w:szCs w:val="24"/>
            <w:u w:val="none"/>
            <w:shd w:val="clear" w:color="auto" w:fill="FFFFFF"/>
          </w:rPr>
          <w:t>public schools</w:t>
        </w:r>
      </w:hyperlink>
      <w:r w:rsidRPr="00E73151">
        <w:rPr>
          <w:rFonts w:cs="Arial"/>
          <w:sz w:val="24"/>
          <w:szCs w:val="24"/>
          <w:shd w:val="clear" w:color="auto" w:fill="FFFFFF"/>
        </w:rPr>
        <w:t>.</w:t>
      </w:r>
    </w:p>
    <w:p w14:paraId="66C8C12A" w14:textId="0513527B" w:rsidR="00E73151" w:rsidRPr="00E73151" w:rsidRDefault="00E73151" w:rsidP="00E73151">
      <w:pPr>
        <w:shd w:val="clear" w:color="auto" w:fill="FFFFFF"/>
        <w:spacing w:before="96" w:after="120" w:line="288" w:lineRule="atLeast"/>
        <w:rPr>
          <w:rFonts w:eastAsia="Times New Roman" w:cs="Arial"/>
          <w:sz w:val="24"/>
          <w:szCs w:val="24"/>
        </w:rPr>
      </w:pPr>
      <w:r w:rsidRPr="00E73151">
        <w:rPr>
          <w:rFonts w:eastAsia="Times New Roman" w:cs="Arial"/>
          <w:sz w:val="24"/>
          <w:szCs w:val="24"/>
        </w:rPr>
        <w:t>The Court explained the importance of separation between church and state by giving a lengthy history of the issue, beginning with the 16th century in England. It then stated that school's prayer is a religious activity by the very nature of it being a prayer, and that prescribing such a religious activity for school children violates the Establishment Clause. The program, created by government officials to promote a religious belief, was therefore constitutionally impermissible.</w:t>
      </w:r>
    </w:p>
    <w:p w14:paraId="3EA75248" w14:textId="77777777" w:rsidR="00E73151" w:rsidRPr="00E73151" w:rsidRDefault="00E73151" w:rsidP="00E73151">
      <w:pPr>
        <w:shd w:val="clear" w:color="auto" w:fill="FFFFFF"/>
        <w:spacing w:before="96" w:after="120" w:line="288" w:lineRule="atLeast"/>
        <w:rPr>
          <w:rFonts w:eastAsia="Times New Roman" w:cs="Arial"/>
          <w:sz w:val="24"/>
          <w:szCs w:val="24"/>
        </w:rPr>
      </w:pPr>
      <w:r w:rsidRPr="00E73151">
        <w:rPr>
          <w:rFonts w:eastAsia="Times New Roman" w:cs="Arial"/>
          <w:sz w:val="24"/>
          <w:szCs w:val="24"/>
        </w:rPr>
        <w:t>The Court rejected the defendant's arguments that people are not asked to respect any specific established religion; and that the prayer is voluntary. The Court held that the mere promotion of a religion is sufficient to establish a violation, even if that promotion is not coercive. The Court further held that the fact that the prayer is vaguely worded enough not to promote any particular religion is not a sufficient defense, as it still promotes a family of religions (those that recognize "Almighty God"), which still violates the Establishment Clause.</w:t>
      </w:r>
    </w:p>
    <w:p w14:paraId="24E23EFA" w14:textId="77777777" w:rsidR="00A6415E" w:rsidRPr="00E73151" w:rsidRDefault="00A6415E" w:rsidP="00995AA1">
      <w:pPr>
        <w:rPr>
          <w:sz w:val="24"/>
          <w:szCs w:val="24"/>
        </w:rPr>
      </w:pPr>
    </w:p>
    <w:p w14:paraId="726BC244" w14:textId="3432DBDA" w:rsidR="00E73151" w:rsidRPr="00E73151" w:rsidRDefault="00E73151" w:rsidP="00E73151">
      <w:pPr>
        <w:pStyle w:val="NormalWeb"/>
        <w:shd w:val="clear" w:color="auto" w:fill="FFFFFF"/>
        <w:spacing w:before="96" w:beforeAutospacing="0" w:after="120" w:afterAutospacing="0" w:line="288" w:lineRule="atLeast"/>
        <w:rPr>
          <w:rFonts w:asciiTheme="minorHAnsi" w:hAnsiTheme="minorHAnsi" w:cs="Arial"/>
        </w:rPr>
      </w:pPr>
      <w:r w:rsidRPr="00E73151">
        <w:rPr>
          <w:rFonts w:asciiTheme="minorHAnsi" w:hAnsiTheme="minorHAnsi" w:cs="Arial"/>
          <w:b/>
          <w:bCs/>
          <w:i/>
          <w:iCs/>
        </w:rPr>
        <w:t>McCollum v. Board of Education</w:t>
      </w:r>
      <w:r w:rsidRPr="00E73151">
        <w:rPr>
          <w:rFonts w:asciiTheme="minorHAnsi" w:hAnsiTheme="minorHAnsi" w:cs="Arial"/>
        </w:rPr>
        <w:t>,</w:t>
      </w:r>
      <w:r w:rsidRPr="00E73151">
        <w:rPr>
          <w:rStyle w:val="apple-converted-space"/>
          <w:rFonts w:asciiTheme="minorHAnsi" w:hAnsiTheme="minorHAnsi" w:cs="Arial"/>
        </w:rPr>
        <w:t> </w:t>
      </w:r>
      <w:hyperlink r:id="rId16" w:tooltip="Case citation" w:history="1">
        <w:r w:rsidRPr="00E73151">
          <w:rPr>
            <w:rStyle w:val="Hyperlink"/>
            <w:rFonts w:asciiTheme="minorHAnsi" w:hAnsiTheme="minorHAnsi" w:cs="Arial"/>
            <w:color w:val="auto"/>
            <w:u w:val="none"/>
          </w:rPr>
          <w:t>333 U.S. 203</w:t>
        </w:r>
      </w:hyperlink>
      <w:r w:rsidRPr="00E73151">
        <w:rPr>
          <w:rStyle w:val="apple-converted-space"/>
          <w:rFonts w:asciiTheme="minorHAnsi" w:hAnsiTheme="minorHAnsi" w:cs="Arial"/>
        </w:rPr>
        <w:t> </w:t>
      </w:r>
      <w:r w:rsidRPr="00E73151">
        <w:rPr>
          <w:rFonts w:asciiTheme="minorHAnsi" w:hAnsiTheme="minorHAnsi" w:cs="Arial"/>
        </w:rPr>
        <w:t>(1948), was a landmark 1948</w:t>
      </w:r>
      <w:r w:rsidRPr="00E73151">
        <w:rPr>
          <w:rStyle w:val="apple-converted-space"/>
          <w:rFonts w:asciiTheme="minorHAnsi" w:hAnsiTheme="minorHAnsi" w:cs="Arial"/>
        </w:rPr>
        <w:t> </w:t>
      </w:r>
      <w:hyperlink r:id="rId17" w:tooltip="Supreme Court of the United States" w:history="1">
        <w:r w:rsidRPr="00E73151">
          <w:rPr>
            <w:rStyle w:val="Hyperlink"/>
            <w:rFonts w:asciiTheme="minorHAnsi" w:hAnsiTheme="minorHAnsi" w:cs="Arial"/>
            <w:color w:val="auto"/>
            <w:u w:val="none"/>
          </w:rPr>
          <w:t>United States Supreme Court</w:t>
        </w:r>
      </w:hyperlink>
      <w:r>
        <w:rPr>
          <w:rFonts w:asciiTheme="minorHAnsi" w:hAnsiTheme="minorHAnsi" w:cs="Arial"/>
        </w:rPr>
        <w:t xml:space="preserve"> </w:t>
      </w:r>
      <w:r w:rsidRPr="00E73151">
        <w:rPr>
          <w:rFonts w:asciiTheme="minorHAnsi" w:hAnsiTheme="minorHAnsi" w:cs="Arial"/>
        </w:rPr>
        <w:t>case related to the power of a state to use its tax-supported</w:t>
      </w:r>
      <w:r w:rsidRPr="00E73151">
        <w:rPr>
          <w:rStyle w:val="apple-converted-space"/>
          <w:rFonts w:asciiTheme="minorHAnsi" w:hAnsiTheme="minorHAnsi" w:cs="Arial"/>
        </w:rPr>
        <w:t> </w:t>
      </w:r>
      <w:hyperlink r:id="rId18" w:anchor="United_States_public_schools" w:tooltip="Public education" w:history="1">
        <w:r w:rsidRPr="00E73151">
          <w:rPr>
            <w:rStyle w:val="Hyperlink"/>
            <w:rFonts w:asciiTheme="minorHAnsi" w:hAnsiTheme="minorHAnsi" w:cs="Arial"/>
            <w:color w:val="auto"/>
            <w:u w:val="none"/>
          </w:rPr>
          <w:t>public school system</w:t>
        </w:r>
      </w:hyperlink>
      <w:r w:rsidRPr="00E73151">
        <w:rPr>
          <w:rStyle w:val="apple-converted-space"/>
          <w:rFonts w:asciiTheme="minorHAnsi" w:hAnsiTheme="minorHAnsi" w:cs="Arial"/>
        </w:rPr>
        <w:t> </w:t>
      </w:r>
      <w:r w:rsidRPr="00E73151">
        <w:rPr>
          <w:rFonts w:asciiTheme="minorHAnsi" w:hAnsiTheme="minorHAnsi" w:cs="Arial"/>
        </w:rPr>
        <w:t>in aid of religious instruction. The case was an early test of the</w:t>
      </w:r>
      <w:r w:rsidRPr="00E73151">
        <w:rPr>
          <w:rStyle w:val="apple-converted-space"/>
          <w:rFonts w:asciiTheme="minorHAnsi" w:hAnsiTheme="minorHAnsi" w:cs="Arial"/>
        </w:rPr>
        <w:t> </w:t>
      </w:r>
      <w:hyperlink r:id="rId19" w:tooltip="Separation of church and state" w:history="1">
        <w:r w:rsidRPr="00E73151">
          <w:rPr>
            <w:rStyle w:val="Hyperlink"/>
            <w:rFonts w:asciiTheme="minorHAnsi" w:hAnsiTheme="minorHAnsi" w:cs="Arial"/>
            <w:color w:val="auto"/>
            <w:u w:val="none"/>
          </w:rPr>
          <w:t>separation of church and state</w:t>
        </w:r>
      </w:hyperlink>
      <w:r w:rsidRPr="00E73151">
        <w:rPr>
          <w:rStyle w:val="apple-converted-space"/>
          <w:rFonts w:asciiTheme="minorHAnsi" w:hAnsiTheme="minorHAnsi" w:cs="Arial"/>
        </w:rPr>
        <w:t> </w:t>
      </w:r>
      <w:r w:rsidRPr="00E73151">
        <w:rPr>
          <w:rFonts w:asciiTheme="minorHAnsi" w:hAnsiTheme="minorHAnsi" w:cs="Arial"/>
        </w:rPr>
        <w:t>with respect to education.</w:t>
      </w:r>
    </w:p>
    <w:p w14:paraId="2B08A7C3" w14:textId="77777777" w:rsidR="00E73151" w:rsidRPr="00E73151" w:rsidRDefault="00E73151" w:rsidP="00E73151">
      <w:pPr>
        <w:pStyle w:val="NormalWeb"/>
        <w:shd w:val="clear" w:color="auto" w:fill="FFFFFF"/>
        <w:spacing w:before="96" w:beforeAutospacing="0" w:after="120" w:afterAutospacing="0" w:line="288" w:lineRule="atLeast"/>
        <w:rPr>
          <w:rFonts w:asciiTheme="minorHAnsi" w:hAnsiTheme="minorHAnsi" w:cs="Arial"/>
        </w:rPr>
      </w:pPr>
      <w:r w:rsidRPr="00E73151">
        <w:rPr>
          <w:rFonts w:asciiTheme="minorHAnsi" w:hAnsiTheme="minorHAnsi" w:cs="Arial"/>
        </w:rPr>
        <w:t>The case tested the principle of "</w:t>
      </w:r>
      <w:hyperlink r:id="rId20" w:tooltip="Released time" w:history="1">
        <w:r w:rsidRPr="00E73151">
          <w:rPr>
            <w:rStyle w:val="Hyperlink"/>
            <w:rFonts w:asciiTheme="minorHAnsi" w:hAnsiTheme="minorHAnsi" w:cs="Arial"/>
            <w:color w:val="auto"/>
            <w:u w:val="none"/>
          </w:rPr>
          <w:t>released time</w:t>
        </w:r>
      </w:hyperlink>
      <w:r w:rsidRPr="00E73151">
        <w:rPr>
          <w:rFonts w:asciiTheme="minorHAnsi" w:hAnsiTheme="minorHAnsi" w:cs="Arial"/>
        </w:rPr>
        <w:t>", where public schools set aside class time for religious instruction. The Court struck down a</w:t>
      </w:r>
      <w:r w:rsidRPr="00E73151">
        <w:rPr>
          <w:rStyle w:val="apple-converted-space"/>
          <w:rFonts w:asciiTheme="minorHAnsi" w:hAnsiTheme="minorHAnsi" w:cs="Arial"/>
        </w:rPr>
        <w:t> </w:t>
      </w:r>
      <w:hyperlink r:id="rId21" w:tooltip="Champaign, Illinois" w:history="1">
        <w:r w:rsidRPr="00E73151">
          <w:rPr>
            <w:rStyle w:val="Hyperlink"/>
            <w:rFonts w:asciiTheme="minorHAnsi" w:hAnsiTheme="minorHAnsi" w:cs="Arial"/>
            <w:color w:val="auto"/>
            <w:u w:val="none"/>
          </w:rPr>
          <w:t>Champaign, Illinois</w:t>
        </w:r>
      </w:hyperlink>
      <w:r w:rsidRPr="00E73151">
        <w:rPr>
          <w:rStyle w:val="apple-converted-space"/>
          <w:rFonts w:asciiTheme="minorHAnsi" w:hAnsiTheme="minorHAnsi" w:cs="Arial"/>
        </w:rPr>
        <w:t> </w:t>
      </w:r>
      <w:r w:rsidRPr="00E73151">
        <w:rPr>
          <w:rFonts w:asciiTheme="minorHAnsi" w:hAnsiTheme="minorHAnsi" w:cs="Arial"/>
        </w:rPr>
        <w:t>program as unconstitutional because of the public school system's involvement in the administration, organization and support of religious instruction classes. The Court noted that some 2,000 communities nationwide offered similar released time programs affecting 1.5 million students.</w:t>
      </w:r>
    </w:p>
    <w:p w14:paraId="514FF9A5" w14:textId="092854C5" w:rsidR="00E73151" w:rsidRPr="00E73151" w:rsidRDefault="00E73151" w:rsidP="00995AA1">
      <w:pPr>
        <w:rPr>
          <w:sz w:val="24"/>
          <w:szCs w:val="24"/>
        </w:rPr>
      </w:pPr>
      <w:r w:rsidRPr="00E73151">
        <w:rPr>
          <w:rFonts w:cs="Arial"/>
          <w:sz w:val="24"/>
          <w:szCs w:val="24"/>
          <w:shd w:val="clear" w:color="auto" w:fill="FFFFFF"/>
        </w:rPr>
        <w:t>McCollum, an</w:t>
      </w:r>
      <w:r w:rsidRPr="00E73151">
        <w:rPr>
          <w:rStyle w:val="apple-converted-space"/>
          <w:rFonts w:cs="Arial"/>
          <w:sz w:val="24"/>
          <w:szCs w:val="24"/>
          <w:shd w:val="clear" w:color="auto" w:fill="FFFFFF"/>
        </w:rPr>
        <w:t> </w:t>
      </w:r>
      <w:hyperlink r:id="rId22" w:tooltip="Atheist" w:history="1">
        <w:r w:rsidRPr="00E73151">
          <w:rPr>
            <w:rStyle w:val="Hyperlink"/>
            <w:rFonts w:cs="Arial"/>
            <w:color w:val="auto"/>
            <w:sz w:val="24"/>
            <w:szCs w:val="24"/>
            <w:u w:val="none"/>
            <w:shd w:val="clear" w:color="auto" w:fill="FFFFFF"/>
          </w:rPr>
          <w:t>Atheist</w:t>
        </w:r>
      </w:hyperlink>
      <w:r w:rsidRPr="00E73151">
        <w:rPr>
          <w:rFonts w:cs="Arial"/>
          <w:sz w:val="24"/>
          <w:szCs w:val="24"/>
          <w:shd w:val="clear" w:color="auto" w:fill="FFFFFF"/>
        </w:rPr>
        <w:t>, objected to the religious classes, stating that her son James was ostracized for not attending them. After complaints to school officials to stop offering these classes went unheeded, McCollum sued the school board in July 1945, stating that the religious instruction in the public schools violated the</w:t>
      </w:r>
      <w:r w:rsidR="00946846">
        <w:rPr>
          <w:rFonts w:cs="Arial"/>
          <w:sz w:val="24"/>
          <w:szCs w:val="24"/>
          <w:shd w:val="clear" w:color="auto" w:fill="FFFFFF"/>
        </w:rPr>
        <w:t xml:space="preserve"> </w:t>
      </w:r>
      <w:hyperlink r:id="rId23" w:tooltip="Establishment Clause of the First Amendment" w:history="1">
        <w:r w:rsidRPr="00E73151">
          <w:rPr>
            <w:rStyle w:val="Hyperlink"/>
            <w:rFonts w:cs="Arial"/>
            <w:color w:val="auto"/>
            <w:sz w:val="24"/>
            <w:szCs w:val="24"/>
            <w:u w:val="none"/>
            <w:shd w:val="clear" w:color="auto" w:fill="FFFFFF"/>
          </w:rPr>
          <w:t>Establishment Clause of the First Amendment</w:t>
        </w:r>
      </w:hyperlink>
      <w:r w:rsidRPr="00E73151">
        <w:rPr>
          <w:rFonts w:cs="Arial"/>
          <w:sz w:val="24"/>
          <w:szCs w:val="24"/>
          <w:shd w:val="clear" w:color="auto" w:fill="FFFFFF"/>
        </w:rPr>
        <w:t>—the principle of</w:t>
      </w:r>
      <w:r w:rsidRPr="00E73151">
        <w:rPr>
          <w:rStyle w:val="apple-converted-space"/>
          <w:rFonts w:cs="Arial"/>
          <w:sz w:val="24"/>
          <w:szCs w:val="24"/>
          <w:shd w:val="clear" w:color="auto" w:fill="FFFFFF"/>
        </w:rPr>
        <w:t> </w:t>
      </w:r>
      <w:hyperlink r:id="rId24" w:tooltip="Separation of church and state in the United States" w:history="1">
        <w:r w:rsidRPr="00E73151">
          <w:rPr>
            <w:rStyle w:val="Hyperlink"/>
            <w:rFonts w:cs="Arial"/>
            <w:color w:val="auto"/>
            <w:sz w:val="24"/>
            <w:szCs w:val="24"/>
            <w:u w:val="none"/>
            <w:shd w:val="clear" w:color="auto" w:fill="FFFFFF"/>
          </w:rPr>
          <w:t>separation of church and state in the United States</w:t>
        </w:r>
      </w:hyperlink>
      <w:r w:rsidRPr="00E73151">
        <w:rPr>
          <w:rFonts w:cs="Arial"/>
          <w:sz w:val="24"/>
          <w:szCs w:val="24"/>
          <w:shd w:val="clear" w:color="auto" w:fill="FFFFFF"/>
        </w:rPr>
        <w:t>. McCollum also complained that the school district's religious education classes violated the</w:t>
      </w:r>
      <w:r w:rsidRPr="00E73151">
        <w:rPr>
          <w:rStyle w:val="apple-converted-space"/>
          <w:rFonts w:cs="Arial"/>
          <w:sz w:val="24"/>
          <w:szCs w:val="24"/>
          <w:shd w:val="clear" w:color="auto" w:fill="FFFFFF"/>
        </w:rPr>
        <w:t> </w:t>
      </w:r>
      <w:hyperlink r:id="rId25" w:tooltip="Equal Protection Clause" w:history="1">
        <w:r w:rsidRPr="00E73151">
          <w:rPr>
            <w:rStyle w:val="Hyperlink"/>
            <w:rFonts w:cs="Arial"/>
            <w:color w:val="auto"/>
            <w:sz w:val="24"/>
            <w:szCs w:val="24"/>
            <w:u w:val="none"/>
            <w:shd w:val="clear" w:color="auto" w:fill="FFFFFF"/>
          </w:rPr>
          <w:t>Equal Protection Clause</w:t>
        </w:r>
      </w:hyperlink>
      <w:r w:rsidRPr="00E73151">
        <w:rPr>
          <w:rStyle w:val="apple-converted-space"/>
          <w:rFonts w:cs="Arial"/>
          <w:sz w:val="24"/>
          <w:szCs w:val="24"/>
          <w:shd w:val="clear" w:color="auto" w:fill="FFFFFF"/>
        </w:rPr>
        <w:t> </w:t>
      </w:r>
      <w:r w:rsidRPr="00E73151">
        <w:rPr>
          <w:rFonts w:cs="Arial"/>
          <w:sz w:val="24"/>
          <w:szCs w:val="24"/>
          <w:shd w:val="clear" w:color="auto" w:fill="FFFFFF"/>
        </w:rPr>
        <w:t>of the</w:t>
      </w:r>
      <w:r w:rsidRPr="00E73151">
        <w:rPr>
          <w:rStyle w:val="apple-converted-space"/>
          <w:rFonts w:cs="Arial"/>
          <w:sz w:val="24"/>
          <w:szCs w:val="24"/>
          <w:shd w:val="clear" w:color="auto" w:fill="FFFFFF"/>
        </w:rPr>
        <w:t> </w:t>
      </w:r>
      <w:hyperlink r:id="rId26" w:tooltip="Fourteenth Amendment to the United States Constitution" w:history="1">
        <w:r w:rsidRPr="00E73151">
          <w:rPr>
            <w:rStyle w:val="Hyperlink"/>
            <w:rFonts w:cs="Arial"/>
            <w:color w:val="auto"/>
            <w:sz w:val="24"/>
            <w:szCs w:val="24"/>
            <w:u w:val="none"/>
            <w:shd w:val="clear" w:color="auto" w:fill="FFFFFF"/>
          </w:rPr>
          <w:t>Fourteenth Amendment</w:t>
        </w:r>
      </w:hyperlink>
      <w:r w:rsidRPr="00E73151">
        <w:rPr>
          <w:rFonts w:cs="Arial"/>
          <w:sz w:val="24"/>
          <w:szCs w:val="24"/>
          <w:shd w:val="clear" w:color="auto" w:fill="FFFFFF"/>
        </w:rPr>
        <w:t>.</w:t>
      </w:r>
    </w:p>
    <w:p w14:paraId="1696C607" w14:textId="77777777" w:rsidR="00A6415E" w:rsidRDefault="00A6415E" w:rsidP="00995AA1"/>
    <w:p w14:paraId="3137BFC7" w14:textId="77777777" w:rsidR="00A6415E" w:rsidRDefault="00A6415E" w:rsidP="00995AA1"/>
    <w:p w14:paraId="4FEE294A" w14:textId="77777777" w:rsidR="00995AA1" w:rsidRPr="00995AA1" w:rsidRDefault="00995AA1">
      <w:pPr>
        <w:rPr>
          <w:i/>
        </w:rPr>
      </w:pPr>
    </w:p>
    <w:sectPr w:rsidR="00995AA1" w:rsidRPr="00995AA1">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F97B4" w14:textId="77777777" w:rsidR="00A6415E" w:rsidRDefault="00A6415E" w:rsidP="00995AA1">
      <w:pPr>
        <w:spacing w:after="0" w:line="240" w:lineRule="auto"/>
      </w:pPr>
      <w:r>
        <w:separator/>
      </w:r>
    </w:p>
  </w:endnote>
  <w:endnote w:type="continuationSeparator" w:id="0">
    <w:p w14:paraId="4E96CB64" w14:textId="77777777" w:rsidR="00A6415E" w:rsidRDefault="00A6415E" w:rsidP="0099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A2FA" w14:textId="77777777" w:rsidR="00946846" w:rsidRDefault="00946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73626"/>
      <w:docPartObj>
        <w:docPartGallery w:val="Page Numbers (Bottom of Page)"/>
        <w:docPartUnique/>
      </w:docPartObj>
    </w:sdtPr>
    <w:sdtEndPr>
      <w:rPr>
        <w:noProof/>
      </w:rPr>
    </w:sdtEndPr>
    <w:sdtContent>
      <w:p w14:paraId="52262E34" w14:textId="074EE2D0" w:rsidR="00946846" w:rsidRDefault="00946846">
        <w:pPr>
          <w:pStyle w:val="Footer"/>
          <w:jc w:val="right"/>
        </w:pPr>
        <w:r>
          <w:fldChar w:fldCharType="begin"/>
        </w:r>
        <w:r>
          <w:instrText xml:space="preserve"> PAGE   \* MERGEFORMAT </w:instrText>
        </w:r>
        <w:r>
          <w:fldChar w:fldCharType="separate"/>
        </w:r>
        <w:r w:rsidR="009E6073">
          <w:rPr>
            <w:noProof/>
          </w:rPr>
          <w:t>1</w:t>
        </w:r>
        <w:r>
          <w:rPr>
            <w:noProof/>
          </w:rPr>
          <w:fldChar w:fldCharType="end"/>
        </w:r>
      </w:p>
    </w:sdtContent>
  </w:sdt>
  <w:p w14:paraId="6BAE7C1C" w14:textId="77777777" w:rsidR="00946846" w:rsidRDefault="00946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F3D0" w14:textId="77777777" w:rsidR="00946846" w:rsidRDefault="0094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DF76" w14:textId="77777777" w:rsidR="00A6415E" w:rsidRDefault="00A6415E" w:rsidP="00995AA1">
      <w:pPr>
        <w:spacing w:after="0" w:line="240" w:lineRule="auto"/>
      </w:pPr>
      <w:r>
        <w:separator/>
      </w:r>
    </w:p>
  </w:footnote>
  <w:footnote w:type="continuationSeparator" w:id="0">
    <w:p w14:paraId="69D0B5E9" w14:textId="77777777" w:rsidR="00A6415E" w:rsidRDefault="00A6415E" w:rsidP="0099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0BD7" w14:textId="77777777" w:rsidR="00946846" w:rsidRDefault="00946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E26E" w14:textId="77777777" w:rsidR="00946846" w:rsidRDefault="00946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DCE5" w14:textId="77777777" w:rsidR="00946846" w:rsidRDefault="00946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20"/>
    <w:rsid w:val="005865AE"/>
    <w:rsid w:val="00706020"/>
    <w:rsid w:val="00946846"/>
    <w:rsid w:val="00995AA1"/>
    <w:rsid w:val="009E44F7"/>
    <w:rsid w:val="009E6073"/>
    <w:rsid w:val="00A6415E"/>
    <w:rsid w:val="00C433BF"/>
    <w:rsid w:val="00E7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3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6020"/>
  </w:style>
  <w:style w:type="paragraph" w:styleId="NormalWeb">
    <w:name w:val="Normal (Web)"/>
    <w:basedOn w:val="Normal"/>
    <w:uiPriority w:val="99"/>
    <w:semiHidden/>
    <w:unhideWhenUsed/>
    <w:rsid w:val="00706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AA1"/>
    <w:rPr>
      <w:color w:val="0000FF"/>
      <w:u w:val="single"/>
    </w:rPr>
  </w:style>
  <w:style w:type="paragraph" w:styleId="Header">
    <w:name w:val="header"/>
    <w:basedOn w:val="Normal"/>
    <w:link w:val="HeaderChar"/>
    <w:uiPriority w:val="99"/>
    <w:unhideWhenUsed/>
    <w:rsid w:val="00995A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5AA1"/>
  </w:style>
  <w:style w:type="paragraph" w:styleId="Footer">
    <w:name w:val="footer"/>
    <w:basedOn w:val="Normal"/>
    <w:link w:val="FooterChar"/>
    <w:uiPriority w:val="99"/>
    <w:unhideWhenUsed/>
    <w:rsid w:val="00995A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5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6020"/>
  </w:style>
  <w:style w:type="paragraph" w:styleId="NormalWeb">
    <w:name w:val="Normal (Web)"/>
    <w:basedOn w:val="Normal"/>
    <w:uiPriority w:val="99"/>
    <w:semiHidden/>
    <w:unhideWhenUsed/>
    <w:rsid w:val="00706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AA1"/>
    <w:rPr>
      <w:color w:val="0000FF"/>
      <w:u w:val="single"/>
    </w:rPr>
  </w:style>
  <w:style w:type="paragraph" w:styleId="Header">
    <w:name w:val="header"/>
    <w:basedOn w:val="Normal"/>
    <w:link w:val="HeaderChar"/>
    <w:uiPriority w:val="99"/>
    <w:unhideWhenUsed/>
    <w:rsid w:val="00995A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5AA1"/>
  </w:style>
  <w:style w:type="paragraph" w:styleId="Footer">
    <w:name w:val="footer"/>
    <w:basedOn w:val="Normal"/>
    <w:link w:val="FooterChar"/>
    <w:uiPriority w:val="99"/>
    <w:unhideWhenUsed/>
    <w:rsid w:val="00995A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6141">
      <w:bodyDiv w:val="1"/>
      <w:marLeft w:val="0"/>
      <w:marRight w:val="0"/>
      <w:marTop w:val="0"/>
      <w:marBottom w:val="0"/>
      <w:divBdr>
        <w:top w:val="none" w:sz="0" w:space="0" w:color="auto"/>
        <w:left w:val="none" w:sz="0" w:space="0" w:color="auto"/>
        <w:bottom w:val="none" w:sz="0" w:space="0" w:color="auto"/>
        <w:right w:val="none" w:sz="0" w:space="0" w:color="auto"/>
      </w:divBdr>
    </w:div>
    <w:div w:id="1540625845">
      <w:bodyDiv w:val="1"/>
      <w:marLeft w:val="0"/>
      <w:marRight w:val="0"/>
      <w:marTop w:val="0"/>
      <w:marBottom w:val="0"/>
      <w:divBdr>
        <w:top w:val="none" w:sz="0" w:space="0" w:color="auto"/>
        <w:left w:val="none" w:sz="0" w:space="0" w:color="auto"/>
        <w:bottom w:val="none" w:sz="0" w:space="0" w:color="auto"/>
        <w:right w:val="none" w:sz="0" w:space="0" w:color="auto"/>
      </w:divBdr>
    </w:div>
    <w:div w:id="1593777608">
      <w:bodyDiv w:val="1"/>
      <w:marLeft w:val="0"/>
      <w:marRight w:val="0"/>
      <w:marTop w:val="0"/>
      <w:marBottom w:val="0"/>
      <w:divBdr>
        <w:top w:val="none" w:sz="0" w:space="0" w:color="auto"/>
        <w:left w:val="none" w:sz="0" w:space="0" w:color="auto"/>
        <w:bottom w:val="none" w:sz="0" w:space="0" w:color="auto"/>
        <w:right w:val="none" w:sz="0" w:space="0" w:color="auto"/>
      </w:divBdr>
    </w:div>
    <w:div w:id="20342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bington_Township,_Montgomery_County,_Pennsylvania" TargetMode="External"/><Relationship Id="rId13" Type="http://schemas.openxmlformats.org/officeDocument/2006/relationships/hyperlink" Target="http://en.wikipedia.org/wiki/Supreme_Court_of_the_United_States" TargetMode="External"/><Relationship Id="rId18" Type="http://schemas.openxmlformats.org/officeDocument/2006/relationships/hyperlink" Target="http://en.wikipedia.org/wiki/Public_education" TargetMode="External"/><Relationship Id="rId26" Type="http://schemas.openxmlformats.org/officeDocument/2006/relationships/hyperlink" Target="http://en.wikipedia.org/wiki/Fourteenth_Amendment_to_the_United_States_Constitution" TargetMode="External"/><Relationship Id="rId3" Type="http://schemas.openxmlformats.org/officeDocument/2006/relationships/settings" Target="settings.xml"/><Relationship Id="rId21" Type="http://schemas.openxmlformats.org/officeDocument/2006/relationships/hyperlink" Target="http://en.wikipedia.org/wiki/Champaign,_Illinois" TargetMode="External"/><Relationship Id="rId34" Type="http://schemas.openxmlformats.org/officeDocument/2006/relationships/theme" Target="theme/theme1.xml"/><Relationship Id="rId7" Type="http://schemas.openxmlformats.org/officeDocument/2006/relationships/hyperlink" Target="http://en.wikipedia.org/wiki/Unitarian_Universalist" TargetMode="External"/><Relationship Id="rId12" Type="http://schemas.openxmlformats.org/officeDocument/2006/relationships/hyperlink" Target="http://en.wikipedia.org/wiki/Landmark_decision" TargetMode="External"/><Relationship Id="rId17" Type="http://schemas.openxmlformats.org/officeDocument/2006/relationships/hyperlink" Target="http://en.wikipedia.org/wiki/Supreme_Court_of_the_United_States" TargetMode="External"/><Relationship Id="rId25" Type="http://schemas.openxmlformats.org/officeDocument/2006/relationships/hyperlink" Target="http://en.wikipedia.org/wiki/Equal_Protection_Claus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Case_citation" TargetMode="External"/><Relationship Id="rId20" Type="http://schemas.openxmlformats.org/officeDocument/2006/relationships/hyperlink" Target="http://en.wikipedia.org/wiki/Released_tim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Public_school_(government_funded)" TargetMode="External"/><Relationship Id="rId24" Type="http://schemas.openxmlformats.org/officeDocument/2006/relationships/hyperlink" Target="http://en.wikipedia.org/wiki/Separation_of_church_and_state_in_the_United_Stat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n.wikipedia.org/wiki/Public_school_(government_funded)" TargetMode="External"/><Relationship Id="rId23" Type="http://schemas.openxmlformats.org/officeDocument/2006/relationships/hyperlink" Target="http://en.wikipedia.org/wiki/Establishment_Clause_of_the_First_Amendment" TargetMode="External"/><Relationship Id="rId28" Type="http://schemas.openxmlformats.org/officeDocument/2006/relationships/header" Target="header2.xml"/><Relationship Id="rId10" Type="http://schemas.openxmlformats.org/officeDocument/2006/relationships/hyperlink" Target="http://en.wikipedia.org/wiki/Pennsylvania" TargetMode="External"/><Relationship Id="rId19" Type="http://schemas.openxmlformats.org/officeDocument/2006/relationships/hyperlink" Target="http://en.wikipedia.org/wiki/Separation_of_church_and_stat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n.wikipedia.org/wiki/Abington_School_District" TargetMode="External"/><Relationship Id="rId14" Type="http://schemas.openxmlformats.org/officeDocument/2006/relationships/hyperlink" Target="http://en.wikipedia.org/wiki/School_prayer" TargetMode="External"/><Relationship Id="rId22" Type="http://schemas.openxmlformats.org/officeDocument/2006/relationships/hyperlink" Target="http://en.wikipedia.org/wiki/Atheis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2014-10-21T12:49:00Z</cp:lastPrinted>
  <dcterms:created xsi:type="dcterms:W3CDTF">2013-10-14T11:24:00Z</dcterms:created>
  <dcterms:modified xsi:type="dcterms:W3CDTF">2014-10-21T12:50:00Z</dcterms:modified>
</cp:coreProperties>
</file>